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left"/>
        <w:rPr>
          <w:rFonts w:ascii="Times New Roman Bold" w:hAnsi="Times New Roman Bold" w:eastAsia="方正仿宋_GBK" w:cs="Times New Roman Bold"/>
          <w:b/>
          <w:bCs/>
          <w:sz w:val="32"/>
          <w:szCs w:val="32"/>
          <w:lang w:eastAsia="zh-CN"/>
        </w:rPr>
      </w:pPr>
      <w:r>
        <w:rPr>
          <w:rFonts w:hint="eastAsia" w:ascii="Times New Roman Bold" w:hAnsi="Times New Roman Bold" w:eastAsia="方正仿宋_GBK" w:cs="Times New Roman Bold"/>
          <w:b/>
          <w:bCs/>
          <w:sz w:val="32"/>
          <w:szCs w:val="32"/>
          <w:lang w:eastAsia="zh-CN"/>
        </w:rPr>
        <w:t>Annex 1</w:t>
      </w:r>
      <w:r>
        <w:rPr>
          <w:rFonts w:ascii="Times New Roman Bold" w:hAnsi="Times New Roman Bold" w:eastAsia="方正仿宋_GBK" w:cs="Times New Roman Bold"/>
          <w:b/>
          <w:bCs/>
          <w:sz w:val="32"/>
          <w:szCs w:val="32"/>
          <w:lang w:eastAsia="zh-CN"/>
        </w:rPr>
        <w:t>.</w:t>
      </w:r>
      <w:r>
        <w:rPr>
          <w:rFonts w:hint="eastAsia" w:ascii="Times New Roman Bold" w:hAnsi="Times New Roman Bold" w:eastAsia="方正仿宋_GBK" w:cs="Times New Roman Bold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Times New Roman Bold" w:hAnsi="Times New Roman Bold" w:eastAsia="方正仿宋_GBK" w:cs="Times New Roman Bold"/>
          <w:b/>
          <w:bCs/>
          <w:sz w:val="32"/>
          <w:szCs w:val="32"/>
          <w:lang w:eastAsia="zh-CN"/>
        </w:rPr>
        <w:t>Visiting schedule</w:t>
      </w:r>
      <w:bookmarkStart w:id="0" w:name="_GoBack"/>
      <w:bookmarkEnd w:id="0"/>
    </w:p>
    <w:tbl>
      <w:tblPr>
        <w:tblStyle w:val="5"/>
        <w:tblW w:w="9307" w:type="dxa"/>
        <w:tblInd w:w="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943"/>
        <w:gridCol w:w="2423"/>
        <w:gridCol w:w="3562"/>
      </w:tblGrid>
      <w:tr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SimHei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SimHei" w:cs="Times New Roman Regular"/>
                <w:bCs/>
                <w:color w:val="000000"/>
                <w:sz w:val="24"/>
                <w:szCs w:val="24"/>
                <w:lang w:eastAsia="zh-CN" w:bidi="ar"/>
              </w:rPr>
              <w:t>Date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SimHei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SimHei" w:cs="Times New Roman Regular"/>
                <w:bCs/>
                <w:color w:val="000000"/>
                <w:sz w:val="24"/>
                <w:szCs w:val="24"/>
                <w:lang w:eastAsia="zh-CN" w:bidi="ar"/>
              </w:rPr>
              <w:t xml:space="preserve">City 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SimHei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SimHei" w:cs="Times New Roman Regular"/>
                <w:bCs/>
                <w:color w:val="000000"/>
                <w:sz w:val="24"/>
                <w:szCs w:val="24"/>
              </w:rPr>
              <w:t>Itinerary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SimHei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SimHei" w:cs="Times New Roman Regular"/>
                <w:bCs/>
                <w:color w:val="000000"/>
                <w:sz w:val="24"/>
                <w:szCs w:val="24"/>
                <w:lang w:eastAsia="zh-CN" w:bidi="ar"/>
              </w:rPr>
              <w:t>Itinerary Highlights</w:t>
            </w:r>
          </w:p>
        </w:tc>
      </w:tr>
      <w:tr>
        <w:trPr>
          <w:trHeight w:val="12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April 14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vertAlign w:val="superscript"/>
                <w:lang w:eastAsia="zh-CN"/>
              </w:rPr>
              <w:t>th</w:t>
            </w:r>
          </w:p>
          <w:p>
            <w:pPr>
              <w:autoSpaceDE/>
              <w:autoSpaceDN/>
              <w:spacing w:line="276" w:lineRule="auto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2024</w:t>
            </w:r>
          </w:p>
          <w:p>
            <w:pPr>
              <w:autoSpaceDE/>
              <w:autoSpaceDN/>
              <w:spacing w:line="276" w:lineRule="auto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 xml:space="preserve"> Monday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Beijing, China</w:t>
            </w:r>
          </w:p>
          <w:p>
            <w:pPr>
              <w:widowControl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-</w:t>
            </w:r>
          </w:p>
          <w:p>
            <w:pPr>
              <w:widowControl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Astana，Kazakhstan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jc w:val="left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 xml:space="preserve">Plane upon arrival in Astana, Kazakhstan, </w:t>
            </w:r>
          </w:p>
          <w:p>
            <w:pPr>
              <w:autoSpaceDE/>
              <w:autoSpaceDN/>
              <w:spacing w:line="276" w:lineRule="auto"/>
              <w:jc w:val="left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Dedicated Car to  hotel for rest.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ind w:firstLine="0" w:firstLineChars="0"/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eastAsia="zh-CN"/>
              </w:rPr>
              <w:t xml:space="preserve">CFCFA 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CN"/>
              </w:rPr>
              <w:t>will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CN"/>
              </w:rPr>
              <w:t>sign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CN"/>
              </w:rPr>
              <w:t xml:space="preserve"> a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eastAsia="zh-CN"/>
              </w:rPr>
              <w:t xml:space="preserve"> MOU  with the partners to promote good enterprises to each other, innovate mutually beneficial service models, and jointly promote TITR International multimodal transport cooperation. </w:t>
            </w:r>
          </w:p>
          <w:p>
            <w:pPr>
              <w:autoSpaceDE/>
              <w:autoSpaceDN/>
              <w:spacing w:line="276" w:lineRule="auto"/>
              <w:ind w:firstLine="0" w:firstLineChars="0"/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eastAsia="zh-CN"/>
              </w:rPr>
              <w:t>At the same time, we also hope to explore with the participants the possibility of cooperation in CAREC international regional standardization and CAREC international logistics carrier liability insurance.</w:t>
            </w:r>
          </w:p>
        </w:tc>
      </w:tr>
      <w:tr>
        <w:trPr>
          <w:trHeight w:val="1435" w:hRule="atLeast"/>
        </w:trPr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autoSpaceDE/>
              <w:autoSpaceDN/>
              <w:spacing w:line="276" w:lineRule="auto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April 15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vertAlign w:val="superscript"/>
                <w:lang w:eastAsia="zh-CN"/>
              </w:rPr>
              <w:t>th</w:t>
            </w:r>
          </w:p>
          <w:p>
            <w:pPr>
              <w:autoSpaceDE/>
              <w:autoSpaceDN/>
              <w:spacing w:line="276" w:lineRule="auto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2024</w:t>
            </w:r>
          </w:p>
          <w:p>
            <w:pPr>
              <w:autoSpaceDE/>
              <w:autoSpaceDN/>
              <w:spacing w:line="276" w:lineRule="auto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 xml:space="preserve"> Monday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Astana，Kazakhstan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AM：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br w:type="textWrapping"/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Visit Samruk-Kazyna</w:t>
            </w:r>
          </w:p>
          <w:p>
            <w:pPr>
              <w:widowControl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Samruk-Kazyna will present the current status of the Caspian corridor and analyze investment opportunities and directions in transportation logistics and trade in Kazakhstan.</w:t>
            </w:r>
          </w:p>
        </w:tc>
      </w:tr>
      <w:tr>
        <w:trPr>
          <w:trHeight w:val="548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Astana，Kazakhstan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PM：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br w:type="textWrapping"/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Visit KTZ Express</w:t>
            </w:r>
          </w:p>
          <w:p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A multimodal transport subsidiary under Kazakhstan National Railways.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Analyze the current development status and opportunities of multimodal transport under TITR;</w:t>
            </w:r>
          </w:p>
          <w:p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Share experiences in multimodal transport business;</w:t>
            </w:r>
          </w:p>
          <w:p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Exchange the cooperation needs for its business transformation.</w:t>
            </w:r>
          </w:p>
        </w:tc>
      </w:tr>
      <w:tr>
        <w:trPr>
          <w:trHeight w:val="1693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Astana - Aktau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br w:type="textWrapping"/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（Kazakhstan）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Evening:</w:t>
            </w:r>
          </w:p>
          <w:p>
            <w:pPr>
              <w:widowControl/>
              <w:textAlignment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Board a flight from Astana to Aktau.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</w:p>
        </w:tc>
      </w:tr>
      <w:tr>
        <w:trPr>
          <w:trHeight w:val="1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April 16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vertAlign w:val="superscript"/>
                <w:lang w:eastAsia="zh-CN"/>
              </w:rPr>
              <w:t>th</w:t>
            </w:r>
          </w:p>
          <w:p>
            <w:pPr>
              <w:pStyle w:val="2"/>
              <w:ind w:firstLine="0" w:firstLineChars="0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2024</w:t>
            </w:r>
          </w:p>
          <w:p>
            <w:pPr>
              <w:pStyle w:val="2"/>
              <w:ind w:firstLine="0" w:firstLineChars="0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Tuesday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Aktau，Kazakhstan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jc w:val="both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AM：</w:t>
            </w:r>
          </w:p>
          <w:p>
            <w:pP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Visit Aktau Port</w:t>
            </w:r>
          </w:p>
          <w:p>
            <w:pPr>
              <w:autoSpaceDE/>
              <w:autoSpaceDN/>
              <w:spacing w:line="276" w:lineRule="auto"/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</w:pP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/>
              <w:autoSpaceDN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Gain insight into the current status of transportation hub at Aktau Port and opportunities and requirements under the 2025 plan for the construction of the Aktau container hub.</w:t>
            </w:r>
          </w:p>
          <w:p>
            <w:pPr>
              <w:widowControl/>
              <w:autoSpaceDE/>
              <w:autoSpaceDN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Port cooperation needs: Large-scale infrastructure companies, loading and unloading machinery equipment companies.</w:t>
            </w:r>
          </w:p>
        </w:tc>
      </w:tr>
      <w:tr>
        <w:trPr>
          <w:trHeight w:val="8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Aktau，Kazakhstan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auto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PM：</w:t>
            </w:r>
          </w:p>
          <w:p>
            <w:pP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Visit Kuryk Port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</w:p>
        </w:tc>
      </w:tr>
      <w:tr>
        <w:trPr>
          <w:trHeight w:val="1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April 17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vertAlign w:val="superscript"/>
                <w:lang w:eastAsia="zh-CN"/>
              </w:rPr>
              <w:t>th</w:t>
            </w:r>
          </w:p>
          <w:p>
            <w:pPr>
              <w:pStyle w:val="2"/>
              <w:ind w:firstLine="0" w:firstLineChars="0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2024</w:t>
            </w:r>
          </w:p>
          <w:p>
            <w:pPr>
              <w:pStyle w:val="2"/>
              <w:ind w:firstLine="0" w:firstLineChars="0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Wednesday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Aktau，Kazakhstan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jc w:val="both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A Full Day：</w:t>
            </w:r>
          </w:p>
          <w:p>
            <w:pPr>
              <w:autoSpaceDE/>
              <w:autoSpaceDN/>
              <w:spacing w:line="276" w:lineRule="auto"/>
              <w:jc w:val="left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Visit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the headquarters of Semurg Invest (founder of the Kazakh National Fund and one of the shareholders of Kuryk Port)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Discuss the construction, business opportunities, and investment cooperation projects of Kuryk Port Trade Logistics Hub.</w:t>
            </w:r>
          </w:p>
        </w:tc>
      </w:tr>
      <w:tr>
        <w:trPr>
          <w:trHeight w:val="17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April 18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vertAlign w:val="superscript"/>
                <w:lang w:eastAsia="zh-CN"/>
              </w:rPr>
              <w:t>th</w:t>
            </w:r>
          </w:p>
          <w:p>
            <w:pPr>
              <w:pStyle w:val="2"/>
              <w:ind w:firstLine="0" w:firstLineChars="0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2024</w:t>
            </w:r>
          </w:p>
          <w:p>
            <w:pPr>
              <w:pStyle w:val="2"/>
              <w:ind w:firstLine="0" w:firstLineChars="0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Thursday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Aktau，Kazakhstan</w:t>
            </w:r>
          </w:p>
          <w:p>
            <w:pPr>
              <w:autoSpaceDE/>
              <w:autoSpaceDN/>
              <w:spacing w:line="276" w:lineRule="auto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-</w:t>
            </w:r>
          </w:p>
          <w:p>
            <w:pPr>
              <w:autoSpaceDE/>
              <w:autoSpaceDN/>
              <w:spacing w:line="276" w:lineRule="auto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Baku, Azerbaijan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jc w:val="both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Early morning:</w:t>
            </w:r>
          </w:p>
          <w:p>
            <w:pPr>
              <w:autoSpaceDE/>
              <w:autoSpaceDN/>
              <w:spacing w:line="276" w:lineRule="auto"/>
              <w:jc w:val="both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Flight from Aktau to Baku.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ind w:firstLine="480" w:firstLineChars="200"/>
              <w:jc w:val="both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</w:p>
        </w:tc>
      </w:tr>
      <w:tr>
        <w:trPr>
          <w:trHeight w:val="20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Baku, Azerbaijan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auto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AM：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br w:type="textWrapping"/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 xml:space="preserve">Visit  Baku Sea Port 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and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 xml:space="preserve"> the Baku International Sea Trade Port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Understand the current status of the Baku seaport transportation hub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eastAsia="zh-CN"/>
              </w:rPr>
              <w:t>.</w:t>
            </w:r>
          </w:p>
        </w:tc>
      </w:tr>
      <w:tr>
        <w:trPr>
          <w:trHeight w:val="17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Baku, Azerbaijan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PM：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br w:type="textWrapping"/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Visit to Baku Seaport Headquarters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ind w:firstLine="0" w:firstLineChars="0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Understand the business opportunities for Baku under the digital transformation plans for port infrastructure and transportation facilities, and discussing investment cooperation projects.</w:t>
            </w:r>
          </w:p>
          <w:p>
            <w:pPr>
              <w:pStyle w:val="2"/>
              <w:spacing w:line="240" w:lineRule="auto"/>
              <w:ind w:firstLine="0" w:firstLineChars="0"/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Port cooperation needs: ICT Infrastructure Company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Smart device provider</w:t>
            </w:r>
          </w:p>
        </w:tc>
      </w:tr>
      <w:tr>
        <w:trPr>
          <w:trHeight w:val="21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April 19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vertAlign w:val="superscript"/>
                <w:lang w:eastAsia="zh-CN"/>
              </w:rPr>
              <w:t>th</w:t>
            </w:r>
          </w:p>
          <w:p>
            <w:pPr>
              <w:pStyle w:val="2"/>
              <w:ind w:firstLine="0" w:firstLineChars="0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2024</w:t>
            </w:r>
          </w:p>
          <w:p>
            <w:pPr>
              <w:pStyle w:val="2"/>
              <w:ind w:firstLine="0" w:firstLineChars="0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Friday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/>
              <w:autoSpaceDN/>
              <w:spacing w:line="276" w:lineRule="auto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Baku, Azerbaijan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autoSpaceDE/>
              <w:autoSpaceDN/>
              <w:spacing w:line="276" w:lineRule="auto"/>
              <w:ind w:firstLine="0" w:firstLineChars="0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AM：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br w:type="textWrapping"/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V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isit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 xml:space="preserve"> the ADY Express-Azerbaijan Railway Freight Forwarding Company</w:t>
            </w:r>
          </w:p>
          <w:p>
            <w:pPr>
              <w:pStyle w:val="2"/>
              <w:ind w:firstLine="0" w:firstLineChars="0"/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</w:pP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480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</w:p>
          <w:p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 xml:space="preserve">Company Introduction and Investment </w:t>
            </w:r>
          </w:p>
          <w:p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eastAsia="zh-CN"/>
              </w:rPr>
              <w:t xml:space="preserve">Exchange the 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Cooperation Needs</w:t>
            </w:r>
          </w:p>
          <w:p>
            <w:pPr>
              <w:widowControl/>
              <w:numPr>
                <w:ilvl w:val="-1"/>
                <w:numId w:val="0"/>
              </w:numPr>
              <w:autoSpaceDE/>
              <w:autoSpaceDN/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</w:pPr>
          </w:p>
        </w:tc>
      </w:tr>
      <w:tr>
        <w:trPr>
          <w:trHeight w:val="162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Baku, Azerbaijan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PM：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br w:type="textWrapping"/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Summary of the meeting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br w:type="textWrapping"/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Networking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</w:p>
        </w:tc>
      </w:tr>
      <w:tr>
        <w:trPr>
          <w:trHeight w:val="2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/>
              <w:autoSpaceDN/>
              <w:spacing w:line="276" w:lineRule="auto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April 20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vertAlign w:val="superscript"/>
                <w:lang w:eastAsia="zh-CN"/>
              </w:rPr>
              <w:t>th</w:t>
            </w:r>
          </w:p>
          <w:p>
            <w:pPr>
              <w:pStyle w:val="2"/>
              <w:ind w:firstLine="480"/>
              <w:jc w:val="both"/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2024</w:t>
            </w:r>
          </w:p>
          <w:p>
            <w:pPr>
              <w:autoSpaceDE/>
              <w:autoSpaceDN/>
              <w:spacing w:line="276" w:lineRule="auto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Saturday</w:t>
            </w:r>
          </w:p>
          <w:p>
            <w:pPr>
              <w:pStyle w:val="2"/>
              <w:ind w:firstLine="0" w:firstLineChars="0"/>
              <w:jc w:val="both"/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/>
              <w:autoSpaceDN/>
              <w:spacing w:line="276" w:lineRule="auto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Baku, Azerbaijan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/>
              <w:autoSpaceDN/>
              <w:spacing w:line="276" w:lineRule="auto"/>
              <w:jc w:val="both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 xml:space="preserve">Informal communication: </w:t>
            </w:r>
          </w:p>
          <w:p>
            <w:pPr>
              <w:autoSpaceDE/>
              <w:autoSpaceDN/>
              <w:spacing w:line="276" w:lineRule="auto"/>
              <w:jc w:val="both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trip to the Baku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/>
              <w:autoSpaceDN/>
              <w:spacing w:line="276" w:lineRule="auto"/>
              <w:ind w:firstLine="480" w:firstLineChars="200"/>
              <w:jc w:val="both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</w:p>
        </w:tc>
      </w:tr>
      <w:tr>
        <w:trPr>
          <w:trHeight w:val="2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April 21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vertAlign w:val="superscript"/>
                <w:lang w:eastAsia="zh-CN"/>
              </w:rPr>
              <w:t>st</w:t>
            </w:r>
          </w:p>
          <w:p>
            <w:pPr>
              <w:pStyle w:val="2"/>
              <w:ind w:firstLine="0" w:firstLineChars="0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2024</w:t>
            </w:r>
          </w:p>
          <w:p>
            <w:pPr>
              <w:pStyle w:val="2"/>
              <w:ind w:firstLine="0" w:firstLineChars="0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Sunday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/>
              <w:autoSpaceDN/>
              <w:spacing w:line="276" w:lineRule="auto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Baku, Azerbaijan</w:t>
            </w:r>
          </w:p>
          <w:p>
            <w:pPr>
              <w:autoSpaceDE/>
              <w:autoSpaceDN/>
              <w:spacing w:line="276" w:lineRule="auto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-</w:t>
            </w:r>
          </w:p>
          <w:p>
            <w:pPr>
              <w:autoSpaceDE/>
              <w:autoSpaceDN/>
              <w:spacing w:line="276" w:lineRule="auto"/>
              <w:jc w:val="center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Beijing, China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/>
              <w:autoSpaceDN/>
              <w:spacing w:line="276" w:lineRule="auto"/>
              <w:jc w:val="both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Closing of the touring, departure to Beijing, China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/>
              <w:autoSpaceDN/>
              <w:spacing w:line="276" w:lineRule="auto"/>
              <w:ind w:firstLine="480" w:firstLineChars="200"/>
              <w:jc w:val="both"/>
              <w:rPr>
                <w:rFonts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</w:pPr>
          </w:p>
        </w:tc>
      </w:tr>
    </w:tbl>
    <w:p>
      <w:pPr>
        <w:pStyle w:val="2"/>
        <w:ind w:left="0" w:firstLine="0" w:firstLineChars="0"/>
        <w:rPr>
          <w:rFonts w:ascii="Times New Roman" w:hAnsi="Times New Roman" w:eastAsia="方正仿宋_GBK" w:cs="Times New Roman"/>
          <w:sz w:val="21"/>
          <w:szCs w:val="21"/>
          <w:lang w:eastAsia="zh-CN"/>
        </w:rPr>
      </w:pPr>
      <w:r>
        <w:rPr>
          <w:rFonts w:ascii="Times New Roman" w:hAnsi="Times New Roman" w:eastAsia="方正仿宋_GBK" w:cs="Times New Roman"/>
          <w:sz w:val="21"/>
          <w:szCs w:val="21"/>
          <w:lang w:eastAsia="zh-CN"/>
        </w:rPr>
        <w:t xml:space="preserve">The organizers reserve the right to change the program due to unforeseen circumstances. Participants will be informed of the changes in due course.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B3060"/>
    <w:multiLevelType w:val="singleLevel"/>
    <w:tmpl w:val="F7FB306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ECE2FDB"/>
    <w:multiLevelType w:val="singleLevel"/>
    <w:tmpl w:val="FECE2FD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E2FD"/>
    <w:rsid w:val="5FFFE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538" w:firstLineChars="192"/>
    </w:pPr>
    <w:rPr>
      <w:sz w:val="20"/>
      <w:szCs w:val="21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2024-02-28T17:17:00Z</dcterms:created>
  <dc:creator>captlin</dc:creator>
  <cp:lastModifiedBy>captlin</cp:lastModifiedBy>
  <dcterms:modified xsi:type="dcterms:W3CDTF">2024-02-28T17:25:16Z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4725674BA7BA06083FFADE65C6B1411F_41</vt:lpwstr>
  </property>
</Properties>
</file>